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C20" w:rsidRPr="00FC18EF" w:rsidRDefault="00913C20" w:rsidP="00913C20">
      <w:pPr>
        <w:jc w:val="both"/>
        <w:rPr>
          <w:rFonts w:ascii="Bookman Old Style" w:hAnsi="Bookman Old Style"/>
          <w:i/>
          <w:lang w:val="el-GR"/>
        </w:rPr>
      </w:pPr>
      <w:r w:rsidRPr="00FC18EF">
        <w:rPr>
          <w:rFonts w:ascii="Bookman Old Style" w:hAnsi="Bookman Old Style"/>
          <w:i/>
          <w:lang w:val="el-GR"/>
        </w:rPr>
        <w:t xml:space="preserve">   </w:t>
      </w:r>
      <w:r w:rsidR="00687038" w:rsidRPr="00FC18EF">
        <w:rPr>
          <w:rFonts w:ascii="Bookman Old Style" w:hAnsi="Bookman Old Style"/>
          <w:i/>
        </w:rPr>
        <w:object w:dxaOrig="1709" w:dyaOrig="1606" w14:anchorId="71DF2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0pt" o:ole="">
            <v:imagedata r:id="rId8" o:title=""/>
          </v:shape>
          <o:OLEObject Type="Embed" ProgID="Unknown" ShapeID="_x0000_i1025" DrawAspect="Content" ObjectID="_1601877772" r:id="rId9"/>
        </w:object>
      </w:r>
      <w:r w:rsidRPr="00FC18EF">
        <w:rPr>
          <w:rFonts w:ascii="Bookman Old Style" w:hAnsi="Bookman Old Style"/>
          <w:i/>
          <w:lang w:val="el-GR"/>
        </w:rPr>
        <w:t xml:space="preserve">                                  </w:t>
      </w:r>
      <w:r w:rsidR="00687038">
        <w:rPr>
          <w:rFonts w:ascii="Bookman Old Style" w:hAnsi="Bookman Old Style"/>
          <w:i/>
          <w:lang w:val="el-GR"/>
        </w:rPr>
        <w:t xml:space="preserve">                                   </w:t>
      </w:r>
      <w:r w:rsidR="00687038" w:rsidRPr="00FC18EF">
        <w:rPr>
          <w:rFonts w:ascii="Bookman Old Style" w:hAnsi="Bookman Old Style"/>
          <w:i/>
          <w:noProof/>
        </w:rPr>
        <w:drawing>
          <wp:inline distT="0" distB="0" distL="0" distR="0" wp14:anchorId="66A7ED23" wp14:editId="4FE9382D">
            <wp:extent cx="1301957" cy="89910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25" cy="93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38">
        <w:rPr>
          <w:rFonts w:ascii="Bookman Old Style" w:hAnsi="Bookman Old Style"/>
          <w:i/>
          <w:lang w:val="el-GR"/>
        </w:rPr>
        <w:t xml:space="preserve">      </w:t>
      </w:r>
    </w:p>
    <w:p w:rsidR="00F35B3F" w:rsidRPr="00F35B3F" w:rsidRDefault="00F35B3F" w:rsidP="00F35B3F">
      <w:pPr>
        <w:ind w:left="-993" w:right="-613"/>
        <w:jc w:val="both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 </w:t>
      </w:r>
      <w:r w:rsidR="00687038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ΔΙΚΗΓΟΡΙΚΟΣ ΣΥΛΛΟΓΟΣ </w:t>
      </w:r>
      <w:r w:rsidR="00687038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                            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ΕΝΩΣΗ ΕΙΣΑΓΓΕΛΕΩΝ 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ab/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ab/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ab/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ab/>
        <w:t xml:space="preserve">   </w:t>
      </w:r>
      <w:r w:rsidR="00687038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     </w:t>
      </w:r>
      <w:r w:rsidR="00687038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 </w:t>
      </w:r>
      <w:r w:rsidR="00687038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ΑΘΗΝΩΝ            </w:t>
      </w:r>
      <w:r w:rsidR="00687038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                                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        ΕΛΛΑΔΟΣ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ab/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ab/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ab/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ab/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ab/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ab/>
        <w:t xml:space="preserve"> </w:t>
      </w:r>
    </w:p>
    <w:p w:rsidR="00913C20" w:rsidRPr="00F35B3F" w:rsidRDefault="00913C20" w:rsidP="00913C20">
      <w:pPr>
        <w:ind w:left="-993"/>
        <w:jc w:val="both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18"/>
          <w:szCs w:val="36"/>
          <w:u w:val="single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18"/>
          <w:szCs w:val="36"/>
          <w:u w:val="single"/>
          <w:lang w:val="el-GR"/>
        </w:rPr>
      </w:pPr>
    </w:p>
    <w:p w:rsidR="00D37967" w:rsidRPr="00F35B3F" w:rsidRDefault="00D37967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36"/>
          <w:szCs w:val="36"/>
          <w:u w:val="single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36"/>
          <w:szCs w:val="36"/>
          <w:u w:val="single"/>
          <w:lang w:val="el-GR"/>
        </w:rPr>
        <w:t>ΠΡΟΣΚΛΗΣΗ</w:t>
      </w:r>
    </w:p>
    <w:p w:rsidR="00D37967" w:rsidRPr="00F35B3F" w:rsidRDefault="00D37967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18"/>
          <w:szCs w:val="36"/>
          <w:u w:val="single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18"/>
          <w:szCs w:val="36"/>
          <w:u w:val="single"/>
          <w:lang w:val="el-GR"/>
        </w:rPr>
      </w:pPr>
    </w:p>
    <w:p w:rsidR="00913C20" w:rsidRPr="00F35B3F" w:rsidRDefault="00913C20" w:rsidP="00BF6BF2">
      <w:pPr>
        <w:ind w:left="-567" w:right="-613"/>
        <w:jc w:val="center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Η Ένωση Εισαγγελέων Ελλάδος </w:t>
      </w:r>
      <w:r w:rsidR="00BF6BF2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&amp;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ο Δικηγορικός Σύλλογος Αθηνών </w:t>
      </w:r>
    </w:p>
    <w:p w:rsidR="00BF6BF2" w:rsidRPr="00F35B3F" w:rsidRDefault="00913C20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σας προσκαλούν </w:t>
      </w:r>
    </w:p>
    <w:p w:rsidR="00BF6BF2" w:rsidRPr="00F35B3F" w:rsidRDefault="00913C20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στην Ημερίδα που διοργανώνουν </w:t>
      </w:r>
    </w:p>
    <w:p w:rsidR="00BF6BF2" w:rsidRPr="00F35B3F" w:rsidRDefault="00913C20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με θέμα : «ΥΠΟ ΟΡΟ ΑΠΟΛΥΣΗ ΚΑΤΑΔΙΚΩΝ», </w:t>
      </w:r>
    </w:p>
    <w:p w:rsidR="00BF6BF2" w:rsidRPr="00F35B3F" w:rsidRDefault="00913C20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την Τρίτη 6 Νοεμβρίου 2018 και ώρα 1</w:t>
      </w:r>
      <w:r w:rsidR="00A42239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7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.</w:t>
      </w:r>
      <w:r w:rsidR="00A42239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3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0΄, </w:t>
      </w:r>
    </w:p>
    <w:p w:rsidR="00D37967" w:rsidRPr="00F35B3F" w:rsidRDefault="00913C20" w:rsidP="00BF6BF2">
      <w:pPr>
        <w:ind w:left="-567" w:right="-613"/>
        <w:jc w:val="center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στην Αίθουσα της Αρχαιολογικής Εταιρείας </w:t>
      </w:r>
    </w:p>
    <w:p w:rsidR="000A55EF" w:rsidRPr="00F35B3F" w:rsidRDefault="00913C20" w:rsidP="00BF6BF2">
      <w:pPr>
        <w:ind w:left="-567" w:right="-613"/>
        <w:jc w:val="center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(Πανεπιστημίου 22) </w:t>
      </w:r>
    </w:p>
    <w:p w:rsidR="000A55EF" w:rsidRPr="00F35B3F" w:rsidRDefault="000A55E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4"/>
          <w:szCs w:val="24"/>
          <w:lang w:val="el-GR"/>
        </w:rPr>
      </w:pPr>
    </w:p>
    <w:p w:rsidR="000A55EF" w:rsidRPr="00F35B3F" w:rsidRDefault="000A55EF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32"/>
          <w:szCs w:val="32"/>
          <w:u w:val="single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32"/>
          <w:szCs w:val="32"/>
          <w:u w:val="single"/>
          <w:lang w:val="el-GR"/>
        </w:rPr>
        <w:t>Πρόγραμμα</w:t>
      </w:r>
    </w:p>
    <w:p w:rsidR="00FF213D" w:rsidRPr="00F35B3F" w:rsidRDefault="00FF213D" w:rsidP="000A55EF">
      <w:pPr>
        <w:jc w:val="center"/>
        <w:rPr>
          <w:rFonts w:ascii="Bookman Old Style" w:hAnsi="Bookman Old Style"/>
          <w:b/>
          <w:i/>
          <w:color w:val="1F3864" w:themeColor="accent1" w:themeShade="80"/>
          <w:sz w:val="20"/>
          <w:szCs w:val="32"/>
          <w:u w:val="single"/>
          <w:lang w:val="el-GR"/>
        </w:rPr>
      </w:pPr>
    </w:p>
    <w:p w:rsidR="000A55EF" w:rsidRPr="00F35B3F" w:rsidRDefault="00BF6BF2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17.30΄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FF213D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 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Προσέλευση συνέδρων – εγγραφές</w:t>
      </w:r>
    </w:p>
    <w:p w:rsidR="00D37967" w:rsidRPr="00F35B3F" w:rsidRDefault="00D37967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"/>
          <w:szCs w:val="28"/>
          <w:lang w:val="el-GR"/>
        </w:rPr>
      </w:pPr>
    </w:p>
    <w:p w:rsidR="00BF6BF2" w:rsidRPr="00F35B3F" w:rsidRDefault="00BF6BF2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18.00΄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237A68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Εισαγωγή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κ. Ελευθέριου Μιχαηλίδη,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Εισαγγελέα </w:t>
      </w:r>
      <w:r w:rsidR="00A070C1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 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Εφετών</w:t>
      </w:r>
      <w:r w:rsidR="00FF213D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,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Προέδρου της Ένωσης Εισαγγελέων Ελλάδος</w:t>
      </w:r>
    </w:p>
    <w:p w:rsidR="00D37967" w:rsidRPr="00F35B3F" w:rsidRDefault="00D37967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"/>
          <w:szCs w:val="28"/>
          <w:lang w:val="el-GR"/>
        </w:rPr>
      </w:pPr>
    </w:p>
    <w:p w:rsidR="00BF6BF2" w:rsidRPr="00F35B3F" w:rsidRDefault="00BF6BF2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18.10΄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Χαιρετισμός 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κ. Μιχαήλ Καλογήρου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, Υπουργού Δικαιοσύνης, Διαφάνειας και Ανθρωπίνων Δικαιωμάτων</w:t>
      </w:r>
    </w:p>
    <w:p w:rsidR="00D37967" w:rsidRPr="00F35B3F" w:rsidRDefault="00D37967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6"/>
          <w:szCs w:val="28"/>
          <w:lang w:val="el-GR"/>
        </w:rPr>
      </w:pPr>
    </w:p>
    <w:p w:rsidR="00127776" w:rsidRPr="00F35B3F" w:rsidRDefault="00127776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18.15΄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Χαιρετισμός 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κας Ξένης  Δημητρίου – Βασιλοπούλου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, Εισαγγελέως Αρείου Πάγου </w:t>
      </w:r>
    </w:p>
    <w:p w:rsidR="00127776" w:rsidRPr="00F35B3F" w:rsidRDefault="00127776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6"/>
          <w:szCs w:val="28"/>
          <w:lang w:val="el-GR"/>
        </w:rPr>
      </w:pPr>
    </w:p>
    <w:p w:rsidR="00BF6BF2" w:rsidRPr="00F35B3F" w:rsidRDefault="00BF6BF2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18.20΄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Χαιρετισμός 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κ. Δημητρίου Βερβεσού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, Προέδρου </w:t>
      </w:r>
      <w:r w:rsidR="00FF213D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του Δικηγορικού Συλλόγου Αθηνών – Προέδρου της Ολομέλειας των Δικηγορικών Συλλόγων Ελλάδος</w:t>
      </w:r>
    </w:p>
    <w:p w:rsidR="00FF213D" w:rsidRPr="00F35B3F" w:rsidRDefault="00FF213D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35B3F" w:rsidRPr="00F35B3F" w:rsidRDefault="00F35B3F" w:rsidP="00FF213D">
      <w:pPr>
        <w:ind w:left="993" w:hanging="993"/>
        <w:jc w:val="both"/>
        <w:rPr>
          <w:rFonts w:ascii="Bookman Old Style" w:hAnsi="Bookman Old Style"/>
          <w:i/>
          <w:color w:val="1F3864" w:themeColor="accent1" w:themeShade="80"/>
          <w:sz w:val="24"/>
          <w:szCs w:val="24"/>
          <w:lang w:val="el-GR"/>
        </w:rPr>
      </w:pPr>
    </w:p>
    <w:p w:rsidR="00FF213D" w:rsidRPr="00F35B3F" w:rsidRDefault="00FF213D" w:rsidP="00B17B67">
      <w:pPr>
        <w:ind w:left="993" w:hanging="1560"/>
        <w:jc w:val="both"/>
        <w:rPr>
          <w:rFonts w:ascii="Bookman Old Style" w:hAnsi="Bookman Old Style" w:cstheme="minorHAnsi"/>
          <w:b/>
          <w:i/>
          <w:color w:val="1F3864" w:themeColor="accent1" w:themeShade="80"/>
          <w:sz w:val="28"/>
          <w:szCs w:val="28"/>
          <w:u w:val="single"/>
          <w:lang w:val="el-GR"/>
        </w:rPr>
      </w:pPr>
      <w:r w:rsidRPr="00F35B3F">
        <w:rPr>
          <w:rFonts w:ascii="Bookman Old Style" w:hAnsi="Bookman Old Style" w:cstheme="minorHAnsi"/>
          <w:b/>
          <w:i/>
          <w:color w:val="1F3864" w:themeColor="accent1" w:themeShade="80"/>
          <w:sz w:val="28"/>
          <w:szCs w:val="28"/>
          <w:lang w:val="el-GR"/>
        </w:rPr>
        <w:t xml:space="preserve">18.30΄ </w:t>
      </w:r>
      <w:r w:rsidRPr="00F35B3F">
        <w:rPr>
          <w:rFonts w:ascii="Bookman Old Style" w:hAnsi="Bookman Old Style" w:cstheme="minorHAnsi"/>
          <w:b/>
          <w:i/>
          <w:color w:val="1F3864" w:themeColor="accent1" w:themeShade="80"/>
          <w:sz w:val="28"/>
          <w:szCs w:val="28"/>
          <w:u w:val="single"/>
          <w:lang w:val="el-GR"/>
        </w:rPr>
        <w:t>Α΄ ΣΥΝΕΔΡΙΑ</w:t>
      </w:r>
    </w:p>
    <w:p w:rsidR="00FF213D" w:rsidRPr="00F35B3F" w:rsidRDefault="00FF213D" w:rsidP="00A070C1">
      <w:pPr>
        <w:pStyle w:val="a3"/>
        <w:numPr>
          <w:ilvl w:val="0"/>
          <w:numId w:val="6"/>
        </w:numPr>
        <w:ind w:left="567" w:hanging="567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Προεδρεύων :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Παναγιώτης Μπρακουμάτ</w:t>
      </w:r>
      <w:r w:rsidR="00237A68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σ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ος,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Αντεισαγγελέας Αρείου Πάγου</w:t>
      </w:r>
    </w:p>
    <w:p w:rsidR="00FF213D" w:rsidRPr="00F35B3F" w:rsidRDefault="00FF213D" w:rsidP="00A070C1">
      <w:pPr>
        <w:ind w:left="567" w:hanging="567"/>
        <w:jc w:val="both"/>
        <w:rPr>
          <w:rFonts w:ascii="Bookman Old Style" w:hAnsi="Bookman Old Style"/>
          <w:i/>
          <w:color w:val="1F3864" w:themeColor="accent1" w:themeShade="80"/>
          <w:sz w:val="2"/>
          <w:szCs w:val="24"/>
          <w:lang w:val="el-GR"/>
        </w:rPr>
      </w:pPr>
    </w:p>
    <w:p w:rsidR="00FF213D" w:rsidRPr="00F35B3F" w:rsidRDefault="00B17B67" w:rsidP="00A070C1">
      <w:pPr>
        <w:ind w:left="567" w:hanging="567"/>
        <w:jc w:val="both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     </w:t>
      </w:r>
      <w:r w:rsidR="00FF213D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Εισηγητές :  </w:t>
      </w:r>
    </w:p>
    <w:p w:rsidR="00B17B67" w:rsidRPr="00F35B3F" w:rsidRDefault="00D37967" w:rsidP="00B17B67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Χαρίκλεια</w:t>
      </w:r>
      <w:r w:rsidR="00FD1458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Θάνου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, Αντεισαγγελέας Πρωτοδικών Πειραιά</w:t>
      </w:r>
    </w:p>
    <w:p w:rsidR="00B17B67" w:rsidRPr="00F35B3F" w:rsidRDefault="00A070C1" w:rsidP="00B17B67">
      <w:pPr>
        <w:spacing w:after="0"/>
        <w:ind w:left="360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B17B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Θέμα : 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«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Προϋποθέσεις διαδικασίας χορήγησης υπό όρο απόλυσης</w:t>
      </w:r>
    </w:p>
    <w:p w:rsidR="00213C75" w:rsidRPr="00F35B3F" w:rsidRDefault="00BF6BF2" w:rsidP="00B17B67">
      <w:pPr>
        <w:spacing w:after="0"/>
        <w:ind w:left="360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B17B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            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(άρθ. 105, 106 Π.Κ.)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»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</w:p>
    <w:p w:rsidR="00B17B67" w:rsidRPr="00F35B3F" w:rsidRDefault="00B17B67" w:rsidP="00B17B67">
      <w:pPr>
        <w:spacing w:after="0"/>
        <w:ind w:left="360"/>
        <w:jc w:val="both"/>
        <w:rPr>
          <w:rFonts w:ascii="Bookman Old Style" w:hAnsi="Bookman Old Style"/>
          <w:i/>
          <w:color w:val="1F3864" w:themeColor="accent1" w:themeShade="80"/>
          <w:sz w:val="16"/>
          <w:szCs w:val="28"/>
          <w:lang w:val="el-GR"/>
        </w:rPr>
      </w:pPr>
    </w:p>
    <w:p w:rsidR="000A55EF" w:rsidRPr="00F35B3F" w:rsidRDefault="000A55EF" w:rsidP="00B17B67">
      <w:pPr>
        <w:spacing w:after="0"/>
        <w:ind w:left="567" w:hanging="567"/>
        <w:jc w:val="both"/>
        <w:rPr>
          <w:rFonts w:ascii="Bookman Old Style" w:hAnsi="Bookman Old Style"/>
          <w:i/>
          <w:color w:val="1F3864" w:themeColor="accent1" w:themeShade="80"/>
          <w:sz w:val="6"/>
          <w:szCs w:val="28"/>
          <w:lang w:val="el-GR"/>
        </w:rPr>
      </w:pPr>
    </w:p>
    <w:p w:rsidR="00B17B67" w:rsidRPr="00F35B3F" w:rsidRDefault="00B17B67" w:rsidP="00B17B67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Παναγιώτης Χριστόπουλος</w:t>
      </w:r>
      <w:r w:rsidR="00A070C1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, 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Δικηγόρος Αθηνών, Διδάκτωρ Νομικής Σχολής Πανεπιστημίου Αθηνών, Ειδικός Επιστήμονας Δημοκριτείου Πανεπιστημίου Θράκης</w:t>
      </w:r>
    </w:p>
    <w:p w:rsidR="00B17B67" w:rsidRPr="00F35B3F" w:rsidRDefault="00B17B67" w:rsidP="00B17B67">
      <w:pPr>
        <w:spacing w:after="0"/>
        <w:ind w:left="360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 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Θέμα : 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«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Ανάκληση – άρση της υπό όρο απόλυσης (άρθ. 107, 10</w:t>
      </w:r>
      <w:r w:rsidR="00FC18EF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8</w:t>
      </w:r>
    </w:p>
    <w:p w:rsidR="00213C75" w:rsidRPr="00F35B3F" w:rsidRDefault="00B17B67" w:rsidP="00B17B67">
      <w:pPr>
        <w:spacing w:after="0"/>
        <w:ind w:left="360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            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Π.Κ.) και σχηματισμός συνολικής ποινής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»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</w:p>
    <w:p w:rsidR="00D37967" w:rsidRPr="00F35B3F" w:rsidRDefault="00D37967" w:rsidP="00A070C1">
      <w:pPr>
        <w:ind w:left="567" w:hanging="567"/>
        <w:jc w:val="both"/>
        <w:rPr>
          <w:rFonts w:ascii="Bookman Old Style" w:hAnsi="Bookman Old Style"/>
          <w:i/>
          <w:color w:val="1F3864" w:themeColor="accent1" w:themeShade="80"/>
          <w:sz w:val="6"/>
          <w:szCs w:val="28"/>
          <w:lang w:val="el-GR"/>
        </w:rPr>
      </w:pPr>
    </w:p>
    <w:p w:rsidR="00FF213D" w:rsidRPr="00494D30" w:rsidRDefault="00FF213D" w:rsidP="00A070C1">
      <w:pPr>
        <w:ind w:left="567" w:hanging="567"/>
        <w:jc w:val="both"/>
        <w:rPr>
          <w:rFonts w:ascii="Bookman Old Style" w:hAnsi="Bookman Old Style"/>
          <w:i/>
          <w:color w:val="1F3864" w:themeColor="accent1" w:themeShade="80"/>
          <w:sz w:val="18"/>
          <w:szCs w:val="28"/>
          <w:lang w:val="el-GR"/>
        </w:rPr>
      </w:pPr>
    </w:p>
    <w:p w:rsidR="00BF6BF2" w:rsidRPr="00F35B3F" w:rsidRDefault="00BF6BF2" w:rsidP="00A070C1">
      <w:pPr>
        <w:pStyle w:val="a3"/>
        <w:ind w:left="567" w:hanging="567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</w:p>
    <w:p w:rsidR="00D37967" w:rsidRPr="00F35B3F" w:rsidRDefault="00B17B67" w:rsidP="00B17B67">
      <w:pPr>
        <w:pStyle w:val="a3"/>
        <w:ind w:left="567" w:hanging="1134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u w:val="single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19.</w:t>
      </w:r>
      <w:r w:rsidR="00237A68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0</w:t>
      </w:r>
      <w:r w:rsidR="00197779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n-US"/>
        </w:rPr>
        <w:t>0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΄</w:t>
      </w:r>
      <w:r w:rsidR="00FD1458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  </w:t>
      </w:r>
      <w:r w:rsidR="00D37967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u w:val="single"/>
          <w:lang w:val="el-GR"/>
        </w:rPr>
        <w:t xml:space="preserve">Β΄ ΣΥΝΕΔΡΙΑ </w:t>
      </w:r>
    </w:p>
    <w:p w:rsidR="00D37967" w:rsidRPr="00F35B3F" w:rsidRDefault="00D37967" w:rsidP="00D07273">
      <w:pPr>
        <w:pStyle w:val="a3"/>
        <w:numPr>
          <w:ilvl w:val="0"/>
          <w:numId w:val="7"/>
        </w:numPr>
        <w:ind w:left="567" w:hanging="567"/>
        <w:jc w:val="both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Προεδρεύων :</w:t>
      </w: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B17B67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Χρήστος Μυλωνόπουλος</w:t>
      </w:r>
      <w:r w:rsidR="00B17B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, Καθηγητής Ποινικού Δικαίου Νομικής Σχολής Πανεπιστημίου Αθηνών, Δικηγόρος</w:t>
      </w:r>
    </w:p>
    <w:p w:rsidR="00D37967" w:rsidRPr="00F35B3F" w:rsidRDefault="00D37967" w:rsidP="00D07273">
      <w:pPr>
        <w:pStyle w:val="a3"/>
        <w:ind w:left="567" w:hanging="567"/>
        <w:jc w:val="both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</w:p>
    <w:p w:rsidR="00D37967" w:rsidRPr="00F35B3F" w:rsidRDefault="00B17B67" w:rsidP="00D07273">
      <w:pPr>
        <w:pStyle w:val="a3"/>
        <w:ind w:left="567" w:hanging="567"/>
        <w:jc w:val="both"/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     </w:t>
      </w:r>
      <w:r w:rsidR="00D37967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Εισηγητές :</w:t>
      </w:r>
    </w:p>
    <w:p w:rsidR="00B17B67" w:rsidRPr="00F35B3F" w:rsidRDefault="00FD1458" w:rsidP="00D07273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Νικόλαος </w:t>
      </w:r>
      <w:r w:rsidR="00D37967"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Ποιμενίδης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, Αντεισαγγελέας Εφετών Πειραιά</w:t>
      </w:r>
    </w:p>
    <w:p w:rsidR="00B17B67" w:rsidRPr="00F35B3F" w:rsidRDefault="00B17B67" w:rsidP="00D07273">
      <w:pPr>
        <w:spacing w:after="0"/>
        <w:ind w:left="360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 Θέμα :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«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Υπό όρο απόλυση νοσούντων και αναπήρων καταδίκων </w:t>
      </w:r>
    </w:p>
    <w:p w:rsidR="00BF6BF2" w:rsidRPr="00F35B3F" w:rsidRDefault="00B17B67" w:rsidP="00D07273">
      <w:pPr>
        <w:spacing w:after="0"/>
        <w:ind w:left="360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             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(άρθ. 110</w:t>
      </w:r>
      <w:r w:rsidR="0057581D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α΄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Π.Κ.)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»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</w:p>
    <w:p w:rsidR="00BF6BF2" w:rsidRPr="00F35B3F" w:rsidRDefault="00BF6BF2" w:rsidP="00D07273">
      <w:pPr>
        <w:pStyle w:val="a3"/>
        <w:spacing w:after="0"/>
        <w:ind w:left="567" w:hanging="567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</w:p>
    <w:p w:rsidR="00B17B67" w:rsidRPr="00F35B3F" w:rsidRDefault="006D6E37" w:rsidP="00D07273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Θεόδωρος Ασπρογέρακας – Γρίβας, </w:t>
      </w:r>
      <w:r w:rsid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n-US"/>
        </w:rPr>
        <w:t>PG</w:t>
      </w:r>
      <w:r w:rsidR="004B373D" w:rsidRP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DF3E28">
        <w:rPr>
          <w:rFonts w:ascii="Bookman Old Style" w:hAnsi="Bookman Old Style"/>
          <w:i/>
          <w:color w:val="1F3864" w:themeColor="accent1" w:themeShade="80"/>
          <w:sz w:val="28"/>
          <w:szCs w:val="28"/>
          <w:lang w:val="en-US"/>
        </w:rPr>
        <w:t>Dipl</w:t>
      </w:r>
      <w:r w:rsidR="00DF3E28" w:rsidRPr="00DF3E28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., </w:t>
      </w:r>
      <w:r w:rsidR="00DF3E28">
        <w:rPr>
          <w:rFonts w:ascii="Bookman Old Style" w:hAnsi="Bookman Old Style"/>
          <w:i/>
          <w:color w:val="1F3864" w:themeColor="accent1" w:themeShade="80"/>
          <w:sz w:val="28"/>
          <w:szCs w:val="28"/>
          <w:lang w:val="en-US"/>
        </w:rPr>
        <w:t>MA</w:t>
      </w:r>
      <w:r w:rsidR="00DF3E28" w:rsidRPr="00DF3E28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«</w:t>
      </w:r>
      <w:r w:rsid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n-US"/>
        </w:rPr>
        <w:t>King</w:t>
      </w:r>
      <w:r w:rsidR="004B373D" w:rsidRP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’</w:t>
      </w:r>
      <w:r w:rsid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n-US"/>
        </w:rPr>
        <w:t>s</w:t>
      </w:r>
      <w:r w:rsidR="004B373D" w:rsidRP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n-US"/>
        </w:rPr>
        <w:t>College</w:t>
      </w:r>
      <w:r w:rsidR="004B373D" w:rsidRP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n-US"/>
        </w:rPr>
        <w:t>of</w:t>
      </w:r>
      <w:r w:rsidR="004B373D" w:rsidRP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n-US"/>
        </w:rPr>
        <w:t>London</w:t>
      </w:r>
      <w:r w:rsidR="004B373D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»</w:t>
      </w:r>
      <w:r w:rsidR="00DF3E28" w:rsidRPr="00DF3E28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, </w:t>
      </w:r>
      <w:r w:rsidR="00DF3E28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Δικηγόρος</w:t>
      </w:r>
      <w:r w:rsidR="00666562" w:rsidRPr="00666562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666562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παρ’ Αρείω Πάγω</w:t>
      </w:r>
    </w:p>
    <w:p w:rsidR="00B17B67" w:rsidRPr="00F35B3F" w:rsidRDefault="00B17B67" w:rsidP="00D07273">
      <w:pPr>
        <w:spacing w:after="0"/>
        <w:ind w:left="360" w:right="-613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 Θέμα :</w:t>
      </w:r>
      <w:r w:rsidRPr="00F35B3F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«Α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πόλυση καταδίκων υπό τον</w:t>
      </w:r>
      <w:r w:rsidR="00FC18EF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όρο του κατ’ οίκον περιορισμού</w:t>
      </w:r>
    </w:p>
    <w:p w:rsidR="00FF213D" w:rsidRPr="00F35B3F" w:rsidRDefault="00B17B67" w:rsidP="00D07273">
      <w:pPr>
        <w:spacing w:after="0"/>
        <w:ind w:left="360" w:right="-613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             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με ηλεκτρονική επιτήρηση (άρθ. 110β΄Π.Κ.)</w:t>
      </w:r>
      <w:r w:rsidR="00D37967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»</w:t>
      </w:r>
      <w:r w:rsidR="00BF6BF2" w:rsidRPr="00F35B3F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</w:t>
      </w:r>
    </w:p>
    <w:p w:rsidR="00FC18EF" w:rsidRPr="00494D30" w:rsidRDefault="00FC18EF" w:rsidP="00FC18EF">
      <w:pPr>
        <w:jc w:val="both"/>
        <w:rPr>
          <w:rFonts w:ascii="Bookman Old Style" w:hAnsi="Bookman Old Style"/>
          <w:i/>
          <w:color w:val="1F3864" w:themeColor="accent1" w:themeShade="80"/>
          <w:sz w:val="56"/>
          <w:szCs w:val="28"/>
          <w:lang w:val="el-GR"/>
        </w:rPr>
      </w:pPr>
    </w:p>
    <w:p w:rsidR="00FC18EF" w:rsidRPr="006D6B70" w:rsidRDefault="006D6B70" w:rsidP="006D6B70">
      <w:pPr>
        <w:ind w:left="360" w:hanging="927"/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  <w:r w:rsidRPr="00494D30">
        <w:rPr>
          <w:rFonts w:ascii="Bookman Old Style" w:hAnsi="Bookman Old Style"/>
          <w:b/>
          <w:i/>
          <w:color w:val="1F3864" w:themeColor="accent1" w:themeShade="80"/>
          <w:sz w:val="28"/>
          <w:szCs w:val="28"/>
          <w:lang w:val="el-GR"/>
        </w:rPr>
        <w:t>19.30΄</w:t>
      </w:r>
      <w:r w:rsidR="00494D30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 xml:space="preserve">  </w:t>
      </w:r>
      <w:r w:rsidR="00FC18EF" w:rsidRPr="006D6B70"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  <w:t>Συζήτηση – Τελικά συμπεράσματα</w:t>
      </w:r>
    </w:p>
    <w:p w:rsidR="00D83A8B" w:rsidRPr="00F35B3F" w:rsidRDefault="00D83A8B" w:rsidP="00FC18EF">
      <w:pPr>
        <w:jc w:val="both"/>
        <w:rPr>
          <w:rFonts w:ascii="Bookman Old Style" w:hAnsi="Bookman Old Style"/>
          <w:i/>
          <w:color w:val="1F3864" w:themeColor="accent1" w:themeShade="80"/>
          <w:sz w:val="28"/>
          <w:szCs w:val="28"/>
          <w:lang w:val="el-GR"/>
        </w:rPr>
      </w:pPr>
    </w:p>
    <w:sectPr w:rsidR="00D83A8B" w:rsidRPr="00F35B3F" w:rsidSect="00F35B3F">
      <w:pgSz w:w="11906" w:h="16838"/>
      <w:pgMar w:top="184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8DF"/>
    <w:multiLevelType w:val="hybridMultilevel"/>
    <w:tmpl w:val="F702BC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1A0E"/>
    <w:multiLevelType w:val="hybridMultilevel"/>
    <w:tmpl w:val="8CDC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40E32"/>
    <w:multiLevelType w:val="hybridMultilevel"/>
    <w:tmpl w:val="6BDE8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93AB5"/>
    <w:multiLevelType w:val="hybridMultilevel"/>
    <w:tmpl w:val="EC983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06DF4"/>
    <w:multiLevelType w:val="hybridMultilevel"/>
    <w:tmpl w:val="F5BE0F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578A6"/>
    <w:multiLevelType w:val="hybridMultilevel"/>
    <w:tmpl w:val="998AC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547E6"/>
    <w:multiLevelType w:val="hybridMultilevel"/>
    <w:tmpl w:val="5B788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EF"/>
    <w:rsid w:val="00042FAB"/>
    <w:rsid w:val="000614F4"/>
    <w:rsid w:val="00066062"/>
    <w:rsid w:val="00086D11"/>
    <w:rsid w:val="00095CB8"/>
    <w:rsid w:val="000A55EF"/>
    <w:rsid w:val="000E384B"/>
    <w:rsid w:val="00127776"/>
    <w:rsid w:val="00197779"/>
    <w:rsid w:val="001A065C"/>
    <w:rsid w:val="001D343E"/>
    <w:rsid w:val="00213C75"/>
    <w:rsid w:val="00237A68"/>
    <w:rsid w:val="00275360"/>
    <w:rsid w:val="002A54AC"/>
    <w:rsid w:val="002D7C86"/>
    <w:rsid w:val="002F1236"/>
    <w:rsid w:val="003463E4"/>
    <w:rsid w:val="00364119"/>
    <w:rsid w:val="0038256A"/>
    <w:rsid w:val="003F058E"/>
    <w:rsid w:val="003F080A"/>
    <w:rsid w:val="00494D30"/>
    <w:rsid w:val="004B2F67"/>
    <w:rsid w:val="004B373D"/>
    <w:rsid w:val="0057581D"/>
    <w:rsid w:val="0059285A"/>
    <w:rsid w:val="006033BE"/>
    <w:rsid w:val="00666562"/>
    <w:rsid w:val="00687038"/>
    <w:rsid w:val="006D6B70"/>
    <w:rsid w:val="006D6E37"/>
    <w:rsid w:val="006E1181"/>
    <w:rsid w:val="00705E6D"/>
    <w:rsid w:val="00737581"/>
    <w:rsid w:val="00817D90"/>
    <w:rsid w:val="00891537"/>
    <w:rsid w:val="008F0C97"/>
    <w:rsid w:val="00913C20"/>
    <w:rsid w:val="00951F87"/>
    <w:rsid w:val="00A070C1"/>
    <w:rsid w:val="00A42239"/>
    <w:rsid w:val="00AD5F7B"/>
    <w:rsid w:val="00B01BA9"/>
    <w:rsid w:val="00B17B67"/>
    <w:rsid w:val="00B96543"/>
    <w:rsid w:val="00BF3BA5"/>
    <w:rsid w:val="00BF6BF2"/>
    <w:rsid w:val="00CC3B2D"/>
    <w:rsid w:val="00D07273"/>
    <w:rsid w:val="00D07DBF"/>
    <w:rsid w:val="00D25053"/>
    <w:rsid w:val="00D37967"/>
    <w:rsid w:val="00D459D6"/>
    <w:rsid w:val="00D55E13"/>
    <w:rsid w:val="00D83A8B"/>
    <w:rsid w:val="00DA079C"/>
    <w:rsid w:val="00DF3E28"/>
    <w:rsid w:val="00E92321"/>
    <w:rsid w:val="00EE4542"/>
    <w:rsid w:val="00F35B3F"/>
    <w:rsid w:val="00F84BFD"/>
    <w:rsid w:val="00FC18EF"/>
    <w:rsid w:val="00FD1458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2151"/>
  <w15:docId w15:val="{83FEDCB0-88AC-4637-852C-D487FD70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B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2505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D2505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D25053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25053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D25053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D2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25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CAC427B86DC49AEAC815ECCB51FB5" ma:contentTypeVersion="0" ma:contentTypeDescription="Create a new document." ma:contentTypeScope="" ma:versionID="bf7feb5231a35357b100bf5745ab2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BBB37-3BC5-4C3F-AE2D-188CAF341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663D6-6DA1-464F-AAFB-42FB2D303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8D613-CADB-442B-B9BE-49A17BB479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Kalavros</dc:creator>
  <cp:lastModifiedBy>Γραμματεία Προέδρου</cp:lastModifiedBy>
  <cp:revision>38</cp:revision>
  <cp:lastPrinted>2018-10-15T11:02:00Z</cp:lastPrinted>
  <dcterms:created xsi:type="dcterms:W3CDTF">2018-10-09T07:05:00Z</dcterms:created>
  <dcterms:modified xsi:type="dcterms:W3CDTF">2018-10-15T11:20:00Z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0x0101005FBCAC427B86DC49AEAC815ECCB51FB5</vt:lpwstr>
  </property>
</Properties>
</file>